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821B7" w14:textId="77777777" w:rsidR="00240A89" w:rsidRPr="00352B5D" w:rsidRDefault="00240A89" w:rsidP="00240A89">
      <w:pPr>
        <w:spacing w:line="480" w:lineRule="auto"/>
        <w:jc w:val="both"/>
        <w:rPr>
          <w:rFonts w:cs="Times New Roman"/>
          <w:b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t>Supplementary Figures Legends</w:t>
      </w:r>
    </w:p>
    <w:p w14:paraId="12823443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t xml:space="preserve">Figure S1. </w:t>
      </w:r>
      <w:proofErr w:type="gramStart"/>
      <w:r w:rsidRPr="00352B5D">
        <w:rPr>
          <w:rFonts w:cs="Times New Roman"/>
          <w:b/>
          <w:sz w:val="24"/>
          <w:szCs w:val="24"/>
          <w:lang w:val="en-GB"/>
        </w:rPr>
        <w:t>Time-line</w:t>
      </w:r>
      <w:proofErr w:type="gramEnd"/>
      <w:r w:rsidRPr="00352B5D">
        <w:rPr>
          <w:rFonts w:cs="Times New Roman"/>
          <w:b/>
          <w:sz w:val="24"/>
          <w:szCs w:val="24"/>
          <w:lang w:val="en-GB"/>
        </w:rPr>
        <w:t xml:space="preserve"> of the experimental protocol employed in the co-</w:t>
      </w:r>
      <w:r>
        <w:rPr>
          <w:rFonts w:cs="Times New Roman"/>
          <w:b/>
          <w:sz w:val="24"/>
          <w:szCs w:val="24"/>
          <w:lang w:val="en-GB"/>
        </w:rPr>
        <w:t>colonization</w:t>
      </w:r>
      <w:r w:rsidRPr="00352B5D">
        <w:rPr>
          <w:rFonts w:cs="Times New Roman"/>
          <w:b/>
          <w:sz w:val="24"/>
          <w:szCs w:val="24"/>
          <w:lang w:val="en-GB"/>
        </w:rPr>
        <w:t xml:space="preserve"> model of vertical mother-to-pup transmission</w:t>
      </w:r>
      <w:r w:rsidRPr="00352B5D">
        <w:rPr>
          <w:rFonts w:cs="Times New Roman"/>
          <w:sz w:val="24"/>
          <w:szCs w:val="24"/>
          <w:lang w:val="en-GB"/>
        </w:rPr>
        <w:t xml:space="preserve">. </w:t>
      </w:r>
      <w:bookmarkStart w:id="0" w:name="OLE_LINK2"/>
      <w:r w:rsidRPr="00352B5D">
        <w:rPr>
          <w:rFonts w:cs="Times New Roman"/>
          <w:sz w:val="24"/>
          <w:szCs w:val="24"/>
          <w:lang w:val="en-GB"/>
        </w:rPr>
        <w:t xml:space="preserve">Pregnant Swiss CD1 mothers </w:t>
      </w:r>
      <w:bookmarkEnd w:id="0"/>
      <w:r w:rsidRPr="00352B5D">
        <w:rPr>
          <w:rFonts w:cs="Times New Roman"/>
          <w:sz w:val="24"/>
          <w:szCs w:val="24"/>
          <w:lang w:val="en-GB"/>
        </w:rPr>
        <w:t>were received and treated with 5 mg/ml of streptomycin from day -3 to day 0 (birth of pups). A</w:t>
      </w:r>
      <w:bookmarkStart w:id="1" w:name="_GoBack"/>
      <w:bookmarkEnd w:id="1"/>
      <w:r w:rsidRPr="00352B5D">
        <w:rPr>
          <w:rFonts w:cs="Times New Roman"/>
          <w:sz w:val="24"/>
          <w:szCs w:val="24"/>
          <w:lang w:val="en-GB"/>
        </w:rPr>
        <w:t>t day-1 the pregnant Swiss CD1 mothers were given 10</w:t>
      </w:r>
      <w:r w:rsidRPr="00352B5D">
        <w:rPr>
          <w:rFonts w:cs="Times New Roman"/>
          <w:sz w:val="24"/>
          <w:szCs w:val="24"/>
          <w:vertAlign w:val="superscript"/>
          <w:lang w:val="en-GB"/>
        </w:rPr>
        <w:t>9</w:t>
      </w:r>
      <w:r w:rsidRPr="00352B5D">
        <w:rPr>
          <w:rFonts w:cs="Times New Roman"/>
          <w:sz w:val="24"/>
          <w:szCs w:val="24"/>
          <w:lang w:val="en-GB"/>
        </w:rPr>
        <w:t xml:space="preserve"> CFU of the enterobacteria </w:t>
      </w:r>
      <w:proofErr w:type="gramStart"/>
      <w:r w:rsidRPr="00352B5D">
        <w:rPr>
          <w:rFonts w:cs="Times New Roman"/>
          <w:sz w:val="24"/>
          <w:szCs w:val="24"/>
          <w:lang w:val="en-GB"/>
        </w:rPr>
        <w:t>strain, or</w:t>
      </w:r>
      <w:proofErr w:type="gramEnd"/>
      <w:r w:rsidRPr="00352B5D">
        <w:rPr>
          <w:rFonts w:cs="Times New Roman"/>
          <w:sz w:val="24"/>
          <w:szCs w:val="24"/>
          <w:lang w:val="en-GB"/>
        </w:rPr>
        <w:t xml:space="preserve"> mix of strain (5x10</w:t>
      </w:r>
      <w:r w:rsidRPr="00352B5D">
        <w:rPr>
          <w:rFonts w:cs="Times New Roman"/>
          <w:sz w:val="24"/>
          <w:szCs w:val="24"/>
          <w:vertAlign w:val="superscript"/>
          <w:lang w:val="en-GB"/>
        </w:rPr>
        <w:t>8</w:t>
      </w:r>
      <w:r w:rsidRPr="00352B5D">
        <w:rPr>
          <w:rFonts w:cs="Times New Roman"/>
          <w:sz w:val="24"/>
          <w:szCs w:val="24"/>
          <w:lang w:val="en-GB"/>
        </w:rPr>
        <w:t xml:space="preserve"> CFU per strain) by gavage: MG1655 (commensal </w:t>
      </w:r>
      <w:r w:rsidRPr="0063754D">
        <w:rPr>
          <w:rFonts w:cs="Times New Roman"/>
          <w:i/>
          <w:sz w:val="24"/>
          <w:szCs w:val="24"/>
          <w:lang w:val="en-GB"/>
        </w:rPr>
        <w:t>E. coli</w:t>
      </w:r>
      <w:r w:rsidRPr="00352B5D">
        <w:rPr>
          <w:rFonts w:cs="Times New Roman"/>
          <w:sz w:val="24"/>
          <w:szCs w:val="24"/>
          <w:lang w:val="en-GB"/>
        </w:rPr>
        <w:t xml:space="preserve"> strain), genotoxic </w:t>
      </w:r>
      <w:r w:rsidRPr="0063754D">
        <w:rPr>
          <w:rFonts w:cs="Times New Roman"/>
          <w:i/>
          <w:sz w:val="24"/>
          <w:szCs w:val="24"/>
          <w:lang w:val="en-GB"/>
        </w:rPr>
        <w:t>E. coli</w:t>
      </w:r>
      <w:r w:rsidRPr="00352B5D">
        <w:rPr>
          <w:rFonts w:cs="Times New Roman"/>
          <w:sz w:val="24"/>
          <w:szCs w:val="24"/>
          <w:lang w:val="en-GB"/>
        </w:rPr>
        <w:t xml:space="preserve"> SP15clb+ strain or non-genotoxic </w:t>
      </w:r>
      <w:r w:rsidRPr="00352B5D">
        <w:rPr>
          <w:rFonts w:cs="Times New Roman"/>
          <w:i/>
          <w:sz w:val="24"/>
          <w:szCs w:val="24"/>
          <w:lang w:val="en-GB"/>
        </w:rPr>
        <w:t>E. coli</w:t>
      </w:r>
      <w:r w:rsidRPr="00352B5D">
        <w:rPr>
          <w:rFonts w:cs="Times New Roman"/>
          <w:sz w:val="24"/>
          <w:szCs w:val="24"/>
          <w:lang w:val="en-GB"/>
        </w:rPr>
        <w:t xml:space="preserve"> SP15clb- strain. All the strains employed in this study are </w:t>
      </w:r>
      <w:proofErr w:type="gramStart"/>
      <w:r w:rsidRPr="00352B5D">
        <w:rPr>
          <w:rFonts w:cs="Times New Roman"/>
          <w:sz w:val="24"/>
          <w:szCs w:val="24"/>
          <w:lang w:val="en-GB"/>
        </w:rPr>
        <w:t>streptomycin-resistant</w:t>
      </w:r>
      <w:proofErr w:type="gramEnd"/>
      <w:r w:rsidRPr="00352B5D">
        <w:rPr>
          <w:rFonts w:cs="Times New Roman"/>
          <w:sz w:val="24"/>
          <w:szCs w:val="24"/>
          <w:lang w:val="en-GB"/>
        </w:rPr>
        <w:t>. The caecum microbiota was sampled and analysed at day 15</w:t>
      </w:r>
      <w:r w:rsidRPr="00352B5D">
        <w:rPr>
          <w:rFonts w:cs="Times New Roman"/>
          <w:sz w:val="24"/>
          <w:szCs w:val="24"/>
          <w:vertAlign w:val="superscript"/>
          <w:lang w:val="en-GB"/>
        </w:rPr>
        <w:t>th</w:t>
      </w:r>
      <w:r w:rsidRPr="00352B5D">
        <w:rPr>
          <w:rFonts w:cs="Times New Roman"/>
          <w:sz w:val="24"/>
          <w:szCs w:val="24"/>
          <w:lang w:val="en-GB"/>
        </w:rPr>
        <w:t xml:space="preserve"> and day 35</w:t>
      </w:r>
      <w:r w:rsidRPr="00352B5D">
        <w:rPr>
          <w:rFonts w:cs="Times New Roman"/>
          <w:sz w:val="24"/>
          <w:szCs w:val="24"/>
          <w:vertAlign w:val="superscript"/>
          <w:lang w:val="en-GB"/>
        </w:rPr>
        <w:t>th</w:t>
      </w:r>
      <w:r w:rsidRPr="00352B5D">
        <w:rPr>
          <w:rFonts w:cs="Times New Roman"/>
          <w:sz w:val="24"/>
          <w:szCs w:val="24"/>
          <w:lang w:val="en-GB"/>
        </w:rPr>
        <w:t xml:space="preserve"> after birth.</w:t>
      </w:r>
    </w:p>
    <w:p w14:paraId="281BAC75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</w:p>
    <w:p w14:paraId="48B3CE3C" w14:textId="77777777" w:rsidR="00240A89" w:rsidRPr="0063754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t xml:space="preserve">Figure S2. Molecular strategy used to generate the non-genotoxic and genotoxic </w:t>
      </w:r>
      <w:r w:rsidRPr="0063754D">
        <w:rPr>
          <w:rFonts w:cs="Times New Roman"/>
          <w:b/>
          <w:i/>
          <w:sz w:val="24"/>
          <w:szCs w:val="24"/>
          <w:lang w:val="en-GB"/>
        </w:rPr>
        <w:t>E. coli</w:t>
      </w:r>
      <w:r w:rsidRPr="00352B5D">
        <w:rPr>
          <w:rFonts w:cs="Times New Roman"/>
          <w:b/>
          <w:sz w:val="24"/>
          <w:szCs w:val="24"/>
          <w:lang w:val="en-GB"/>
        </w:rPr>
        <w:t xml:space="preserve"> SP15 strains. </w:t>
      </w:r>
      <w:r w:rsidRPr="00352B5D">
        <w:rPr>
          <w:rFonts w:cs="Times New Roman"/>
          <w:sz w:val="24"/>
          <w:szCs w:val="24"/>
          <w:lang w:val="en-GB"/>
        </w:rPr>
        <w:t xml:space="preserve">Molecular details of the pCM17 plasmid used to generate the two isogenic mutants of </w:t>
      </w:r>
      <w:r w:rsidRPr="0063754D">
        <w:rPr>
          <w:rFonts w:cs="Times New Roman"/>
          <w:i/>
          <w:sz w:val="24"/>
          <w:szCs w:val="24"/>
          <w:lang w:val="en-GB"/>
        </w:rPr>
        <w:t>E. coli</w:t>
      </w:r>
      <w:r w:rsidRPr="0063754D">
        <w:rPr>
          <w:rFonts w:cs="Times New Roman"/>
          <w:sz w:val="24"/>
          <w:szCs w:val="24"/>
          <w:lang w:val="en-GB"/>
        </w:rPr>
        <w:t xml:space="preserve"> SP15 strains</w:t>
      </w:r>
      <w:r w:rsidRPr="00352B5D">
        <w:rPr>
          <w:rFonts w:cs="Times New Roman"/>
          <w:sz w:val="24"/>
          <w:szCs w:val="24"/>
          <w:lang w:val="en-GB"/>
        </w:rPr>
        <w:t>.</w:t>
      </w:r>
    </w:p>
    <w:p w14:paraId="34FBA372" w14:textId="77777777" w:rsidR="00240A89" w:rsidRPr="0063754D" w:rsidRDefault="00240A89" w:rsidP="00240A89">
      <w:pPr>
        <w:spacing w:line="480" w:lineRule="auto"/>
        <w:jc w:val="both"/>
        <w:rPr>
          <w:rFonts w:cs="Times New Roman"/>
          <w:b/>
          <w:sz w:val="24"/>
          <w:szCs w:val="24"/>
          <w:lang w:val="en-GB"/>
        </w:rPr>
      </w:pPr>
    </w:p>
    <w:p w14:paraId="34BA297A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t>Figure S3. 15-to-35 days after birth</w:t>
      </w:r>
      <w:r w:rsidRPr="00352B5D" w:rsidDel="00E73A09">
        <w:rPr>
          <w:rFonts w:cs="Times New Roman"/>
          <w:b/>
          <w:sz w:val="24"/>
          <w:szCs w:val="24"/>
          <w:lang w:val="en-GB"/>
        </w:rPr>
        <w:t xml:space="preserve"> </w:t>
      </w:r>
      <w:r w:rsidRPr="00352B5D">
        <w:rPr>
          <w:rFonts w:cs="Times New Roman"/>
          <w:b/>
          <w:sz w:val="24"/>
          <w:szCs w:val="24"/>
          <w:lang w:val="en-GB"/>
        </w:rPr>
        <w:t xml:space="preserve">caecum microbiota evolution of mice pups which received MG1655 </w:t>
      </w:r>
      <w:r w:rsidRPr="0063754D">
        <w:rPr>
          <w:rFonts w:cs="Times New Roman"/>
          <w:b/>
          <w:i/>
          <w:sz w:val="24"/>
          <w:szCs w:val="24"/>
          <w:lang w:val="en-GB"/>
        </w:rPr>
        <w:t>E. coli</w:t>
      </w:r>
      <w:r w:rsidRPr="00352B5D">
        <w:rPr>
          <w:rFonts w:cs="Times New Roman"/>
          <w:b/>
          <w:sz w:val="24"/>
          <w:szCs w:val="24"/>
          <w:lang w:val="en-GB"/>
        </w:rPr>
        <w:t xml:space="preserve">. </w:t>
      </w:r>
      <w:r w:rsidRPr="00352B5D">
        <w:rPr>
          <w:rFonts w:cs="Times New Roman"/>
          <w:sz w:val="24"/>
          <w:szCs w:val="24"/>
          <w:lang w:val="en-GB"/>
        </w:rPr>
        <w:t xml:space="preserve">A) Cladogram showing bacterial taxa significantly (P&lt;0.01) higher in the group of mice pups of the same colour; B) heat-map </w:t>
      </w:r>
      <w:r w:rsidRPr="00352B5D">
        <w:rPr>
          <w:rFonts w:eastAsia="Times New Roman" w:cs="Times New Roman"/>
          <w:sz w:val="24"/>
          <w:szCs w:val="24"/>
          <w:lang w:val="en-GB" w:eastAsia="fr-FR"/>
        </w:rPr>
        <w:t xml:space="preserve">based on a Pearson distance and a complete linkage </w:t>
      </w:r>
      <w:r w:rsidRPr="00352B5D">
        <w:rPr>
          <w:rFonts w:cs="Times New Roman"/>
          <w:sz w:val="24"/>
          <w:szCs w:val="24"/>
          <w:lang w:val="en-GB"/>
        </w:rPr>
        <w:t xml:space="preserve">drawn with the </w:t>
      </w:r>
      <w:proofErr w:type="spellStart"/>
      <w:r w:rsidRPr="00352B5D">
        <w:rPr>
          <w:rFonts w:cs="Times New Roman"/>
          <w:sz w:val="24"/>
          <w:szCs w:val="24"/>
          <w:lang w:val="en-GB"/>
        </w:rPr>
        <w:t>PermutMatrix</w:t>
      </w:r>
      <w:proofErr w:type="spellEnd"/>
      <w:r w:rsidRPr="00352B5D">
        <w:rPr>
          <w:rFonts w:cs="Times New Roman"/>
          <w:sz w:val="24"/>
          <w:szCs w:val="24"/>
          <w:lang w:val="en-GB"/>
        </w:rPr>
        <w:t xml:space="preserve"> software</w:t>
      </w:r>
      <w:r w:rsidRPr="00F84E50">
        <w:rPr>
          <w:rFonts w:cs="Times New Roman"/>
          <w:sz w:val="24"/>
          <w:szCs w:val="24"/>
          <w:lang w:val="en-GB"/>
        </w:rPr>
        <w:fldChar w:fldCharType="begin"/>
      </w:r>
      <w:r>
        <w:rPr>
          <w:rFonts w:cs="Times New Roman"/>
          <w:sz w:val="24"/>
          <w:szCs w:val="24"/>
          <w:lang w:val="en-GB"/>
        </w:rPr>
        <w:instrText xml:space="preserve"> ADDIN EN.CITE &lt;EndNote&gt;&lt;Cite&gt;&lt;Author&gt;Caraux&lt;/Author&gt;&lt;Year&gt;2005&lt;/Year&gt;&lt;RecNum&gt;166&lt;/RecNum&gt;&lt;DisplayText&gt;[28]&lt;/DisplayText&gt;&lt;record&gt;&lt;rec-number&gt;166&lt;/rec-number&gt;&lt;foreign-keys&gt;&lt;key app="EN" db-id="sadav2s22z5vfmezpxp5s5e3vsve5fxtpapd" timestamp="0"&gt;166&lt;/key&gt;&lt;/foreign-keys&gt;&lt;ref-type name="Journal Article"&gt;17&lt;/ref-type&gt;&lt;contributors&gt;&lt;authors&gt;&lt;author&gt;Caraux, G.&lt;/author&gt;&lt;author&gt;Pinloche, S.&lt;/author&gt;&lt;/authors&gt;&lt;/contributors&gt;&lt;auth-address&gt;Laboratoire d&amp;apos;Informatique de Robotique et de Microelectronique de Montpellier, 161 rue Ada, 34392 Montpellier cedex 5, France. caraux@lirmm.fr&lt;/auth-address&gt;&lt;titles&gt;&lt;title&gt;PermutMatrix: a graphical environment to arrange gene expression profiles in optimal linear order&lt;/title&gt;&lt;secondary-title&gt;Bioinformatics&lt;/secondary-title&gt;&lt;/titles&gt;&lt;periodical&gt;&lt;full-title&gt;Bioinformatics&lt;/full-title&gt;&lt;/periodical&gt;&lt;pages&gt;1280-1&lt;/pages&gt;&lt;volume&gt;21&lt;/volume&gt;&lt;number&gt;7&lt;/number&gt;&lt;edition&gt;2004/11/18&lt;/edition&gt;&lt;keywords&gt;&lt;keyword&gt;*Algorithms&lt;/keyword&gt;&lt;keyword&gt;*Computer Graphics&lt;/keyword&gt;&lt;keyword&gt;Database Management Systems&lt;/keyword&gt;&lt;keyword&gt;*Databases, Protein&lt;/keyword&gt;&lt;keyword&gt;Gene Expression Profiling/*methods&lt;/keyword&gt;&lt;keyword&gt;Information Storage and Retrieval/*methods&lt;/keyword&gt;&lt;keyword&gt;Linear Models&lt;/keyword&gt;&lt;keyword&gt;Models, Biological&lt;/keyword&gt;&lt;keyword&gt;Oligonucleotide Array Sequence Analysis/*methods&lt;/keyword&gt;&lt;keyword&gt;*Software&lt;/keyword&gt;&lt;keyword&gt;*User-Computer Interface&lt;/keyword&gt;&lt;/keywords&gt;&lt;dates&gt;&lt;year&gt;2005&lt;/year&gt;&lt;pub-dates&gt;&lt;date&gt;Apr 1&lt;/date&gt;&lt;/pub-dates&gt;&lt;/dates&gt;&lt;isbn&gt;1367-4803 (Print)&amp;#xD;1367-4803 (Linking)&lt;/isbn&gt;&lt;accession-num&gt;15546938&lt;/accession-num&gt;&lt;urls&gt;&lt;related-urls&gt;&lt;url&gt;http://www.ncbi.nlm.nih.gov/pubmed/15546938&lt;/url&gt;&lt;/related-urls&gt;&lt;/urls&gt;&lt;electronic-resource-num&gt;bti141 [pii]&amp;#xD;10.1093/bioinformatics/bti141&lt;/electronic-resource-num&gt;&lt;language&gt;eng&lt;/language&gt;&lt;/record&gt;&lt;/Cite&gt;&lt;/EndNote&gt;</w:instrText>
      </w:r>
      <w:r w:rsidRPr="00F84E50">
        <w:rPr>
          <w:rFonts w:cs="Times New Roman"/>
          <w:sz w:val="24"/>
          <w:szCs w:val="24"/>
          <w:lang w:val="en-GB"/>
        </w:rPr>
        <w:fldChar w:fldCharType="separate"/>
      </w:r>
      <w:r>
        <w:rPr>
          <w:rFonts w:cs="Times New Roman"/>
          <w:noProof/>
          <w:sz w:val="24"/>
          <w:szCs w:val="24"/>
          <w:lang w:val="en-GB"/>
        </w:rPr>
        <w:t>[28]</w:t>
      </w:r>
      <w:r w:rsidRPr="00F84E50">
        <w:rPr>
          <w:rFonts w:cs="Times New Roman"/>
          <w:sz w:val="24"/>
          <w:szCs w:val="24"/>
          <w:lang w:val="en-GB"/>
        </w:rPr>
        <w:fldChar w:fldCharType="end"/>
      </w:r>
      <w:r w:rsidRPr="00352B5D">
        <w:rPr>
          <w:rFonts w:cs="Times New Roman"/>
          <w:sz w:val="24"/>
          <w:szCs w:val="24"/>
          <w:lang w:val="en-GB"/>
        </w:rPr>
        <w:t xml:space="preserve"> showing multiple diversity indices; C) LDA score of </w:t>
      </w:r>
      <w:r>
        <w:rPr>
          <w:rFonts w:cs="Times New Roman"/>
          <w:sz w:val="24"/>
          <w:szCs w:val="24"/>
          <w:lang w:val="en-GB"/>
        </w:rPr>
        <w:t xml:space="preserve">the </w:t>
      </w:r>
      <w:r w:rsidRPr="00352B5D">
        <w:rPr>
          <w:rFonts w:cs="Times New Roman"/>
          <w:sz w:val="24"/>
          <w:szCs w:val="24"/>
          <w:lang w:val="en-GB"/>
        </w:rPr>
        <w:t>bacterial functions significantly (P&lt;0.01) higher in the group of mice pups of the same colour. The threshold on the logarithmic LDA score for discriminative features was set at 3.0 (instead of 2.0). n=5</w:t>
      </w:r>
      <w:r>
        <w:rPr>
          <w:rFonts w:cs="Times New Roman"/>
          <w:sz w:val="24"/>
          <w:szCs w:val="24"/>
          <w:lang w:val="en-GB"/>
        </w:rPr>
        <w:t xml:space="preserve"> per group.</w:t>
      </w:r>
    </w:p>
    <w:p w14:paraId="64D5F7B9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</w:p>
    <w:p w14:paraId="7F8D5C34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lastRenderedPageBreak/>
        <w:t>Figure S4. 15-to-35 days after birth</w:t>
      </w:r>
      <w:r w:rsidRPr="00352B5D" w:rsidDel="00E73A09">
        <w:rPr>
          <w:rFonts w:cs="Times New Roman"/>
          <w:b/>
          <w:sz w:val="24"/>
          <w:szCs w:val="24"/>
          <w:lang w:val="en-GB"/>
        </w:rPr>
        <w:t xml:space="preserve"> </w:t>
      </w:r>
      <w:r w:rsidRPr="00352B5D">
        <w:rPr>
          <w:rFonts w:cs="Times New Roman"/>
          <w:b/>
          <w:sz w:val="24"/>
          <w:szCs w:val="24"/>
          <w:lang w:val="en-GB"/>
        </w:rPr>
        <w:t xml:space="preserve">caecum microbiota evolution of mice which received MG1655 and </w:t>
      </w:r>
      <w:r w:rsidRPr="0063754D">
        <w:rPr>
          <w:rFonts w:cs="Times New Roman"/>
          <w:b/>
          <w:i/>
          <w:sz w:val="24"/>
          <w:szCs w:val="24"/>
          <w:lang w:val="en-GB"/>
        </w:rPr>
        <w:t>E. coli</w:t>
      </w:r>
      <w:r w:rsidRPr="00352B5D">
        <w:rPr>
          <w:rFonts w:cs="Times New Roman"/>
          <w:b/>
          <w:sz w:val="24"/>
          <w:szCs w:val="24"/>
          <w:lang w:val="en-GB"/>
        </w:rPr>
        <w:t xml:space="preserve"> SP15clb- strains. </w:t>
      </w:r>
      <w:r w:rsidRPr="00352B5D">
        <w:rPr>
          <w:rFonts w:cs="Times New Roman"/>
          <w:sz w:val="24"/>
          <w:szCs w:val="24"/>
          <w:lang w:val="en-GB"/>
        </w:rPr>
        <w:t xml:space="preserve">A) </w:t>
      </w:r>
      <w:bookmarkStart w:id="2" w:name="OLE_LINK1"/>
      <w:r w:rsidRPr="00352B5D">
        <w:rPr>
          <w:rFonts w:cs="Times New Roman"/>
          <w:sz w:val="24"/>
          <w:szCs w:val="24"/>
          <w:lang w:val="en-GB"/>
        </w:rPr>
        <w:t xml:space="preserve">Cladogram showing bacterial taxa significantly (P&lt;0.01) higher in the group of mice pups of the same colour; </w:t>
      </w:r>
      <w:bookmarkEnd w:id="2"/>
      <w:r w:rsidRPr="00352B5D">
        <w:rPr>
          <w:rFonts w:cs="Times New Roman"/>
          <w:sz w:val="24"/>
          <w:szCs w:val="24"/>
          <w:lang w:val="en-GB"/>
        </w:rPr>
        <w:t xml:space="preserve">B) heat-map </w:t>
      </w:r>
      <w:r w:rsidRPr="00352B5D">
        <w:rPr>
          <w:rFonts w:eastAsia="Times New Roman" w:cs="Times New Roman"/>
          <w:sz w:val="24"/>
          <w:szCs w:val="24"/>
          <w:lang w:val="en-GB" w:eastAsia="fr-FR"/>
        </w:rPr>
        <w:t xml:space="preserve">based on a Pearson distance and a complete linkage </w:t>
      </w:r>
      <w:r w:rsidRPr="00352B5D">
        <w:rPr>
          <w:rFonts w:cs="Times New Roman"/>
          <w:sz w:val="24"/>
          <w:szCs w:val="24"/>
          <w:lang w:val="en-GB"/>
        </w:rPr>
        <w:t xml:space="preserve">drawn with the </w:t>
      </w:r>
      <w:proofErr w:type="spellStart"/>
      <w:r w:rsidRPr="00352B5D">
        <w:rPr>
          <w:rFonts w:cs="Times New Roman"/>
          <w:sz w:val="24"/>
          <w:szCs w:val="24"/>
          <w:lang w:val="en-GB"/>
        </w:rPr>
        <w:t>PermutMatrix</w:t>
      </w:r>
      <w:proofErr w:type="spellEnd"/>
      <w:r w:rsidRPr="00352B5D">
        <w:rPr>
          <w:rFonts w:cs="Times New Roman"/>
          <w:sz w:val="24"/>
          <w:szCs w:val="24"/>
          <w:lang w:val="en-GB"/>
        </w:rPr>
        <w:t xml:space="preserve"> software</w:t>
      </w:r>
      <w:r w:rsidRPr="00F84E50">
        <w:rPr>
          <w:rFonts w:cs="Times New Roman"/>
          <w:sz w:val="24"/>
          <w:szCs w:val="24"/>
          <w:lang w:val="en-GB"/>
        </w:rPr>
        <w:fldChar w:fldCharType="begin"/>
      </w:r>
      <w:r>
        <w:rPr>
          <w:rFonts w:cs="Times New Roman"/>
          <w:sz w:val="24"/>
          <w:szCs w:val="24"/>
          <w:lang w:val="en-GB"/>
        </w:rPr>
        <w:instrText xml:space="preserve"> ADDIN EN.CITE &lt;EndNote&gt;&lt;Cite&gt;&lt;Author&gt;Caraux&lt;/Author&gt;&lt;Year&gt;2005&lt;/Year&gt;&lt;RecNum&gt;166&lt;/RecNum&gt;&lt;DisplayText&gt;[28]&lt;/DisplayText&gt;&lt;record&gt;&lt;rec-number&gt;166&lt;/rec-number&gt;&lt;foreign-keys&gt;&lt;key app="EN" db-id="sadav2s22z5vfmezpxp5s5e3vsve5fxtpapd" timestamp="0"&gt;166&lt;/key&gt;&lt;/foreign-keys&gt;&lt;ref-type name="Journal Article"&gt;17&lt;/ref-type&gt;&lt;contributors&gt;&lt;authors&gt;&lt;author&gt;Caraux, G.&lt;/author&gt;&lt;author&gt;Pinloche, S.&lt;/author&gt;&lt;/authors&gt;&lt;/contributors&gt;&lt;auth-address&gt;Laboratoire d&amp;apos;Informatique de Robotique et de Microelectronique de Montpellier, 161 rue Ada, 34392 Montpellier cedex 5, France. caraux@lirmm.fr&lt;/auth-address&gt;&lt;titles&gt;&lt;title&gt;PermutMatrix: a graphical environment to arrange gene expression profiles in optimal linear order&lt;/title&gt;&lt;secondary-title&gt;Bioinformatics&lt;/secondary-title&gt;&lt;/titles&gt;&lt;periodical&gt;&lt;full-title&gt;Bioinformatics&lt;/full-title&gt;&lt;/periodical&gt;&lt;pages&gt;1280-1&lt;/pages&gt;&lt;volume&gt;21&lt;/volume&gt;&lt;number&gt;7&lt;/number&gt;&lt;edition&gt;2004/11/18&lt;/edition&gt;&lt;keywords&gt;&lt;keyword&gt;*Algorithms&lt;/keyword&gt;&lt;keyword&gt;*Computer Graphics&lt;/keyword&gt;&lt;keyword&gt;Database Management Systems&lt;/keyword&gt;&lt;keyword&gt;*Databases, Protein&lt;/keyword&gt;&lt;keyword&gt;Gene Expression Profiling/*methods&lt;/keyword&gt;&lt;keyword&gt;Information Storage and Retrieval/*methods&lt;/keyword&gt;&lt;keyword&gt;Linear Models&lt;/keyword&gt;&lt;keyword&gt;Models, Biological&lt;/keyword&gt;&lt;keyword&gt;Oligonucleotide Array Sequence Analysis/*methods&lt;/keyword&gt;&lt;keyword&gt;*Software&lt;/keyword&gt;&lt;keyword&gt;*User-Computer Interface&lt;/keyword&gt;&lt;/keywords&gt;&lt;dates&gt;&lt;year&gt;2005&lt;/year&gt;&lt;pub-dates&gt;&lt;date&gt;Apr 1&lt;/date&gt;&lt;/pub-dates&gt;&lt;/dates&gt;&lt;isbn&gt;1367-4803 (Print)&amp;#xD;1367-4803 (Linking)&lt;/isbn&gt;&lt;accession-num&gt;15546938&lt;/accession-num&gt;&lt;urls&gt;&lt;related-urls&gt;&lt;url&gt;http://www.ncbi.nlm.nih.gov/pubmed/15546938&lt;/url&gt;&lt;/related-urls&gt;&lt;/urls&gt;&lt;electronic-resource-num&gt;bti141 [pii]&amp;#xD;10.1093/bioinformatics/bti141&lt;/electronic-resource-num&gt;&lt;language&gt;eng&lt;/language&gt;&lt;/record&gt;&lt;/Cite&gt;&lt;/EndNote&gt;</w:instrText>
      </w:r>
      <w:r w:rsidRPr="00F84E50">
        <w:rPr>
          <w:rFonts w:cs="Times New Roman"/>
          <w:sz w:val="24"/>
          <w:szCs w:val="24"/>
          <w:lang w:val="en-GB"/>
        </w:rPr>
        <w:fldChar w:fldCharType="separate"/>
      </w:r>
      <w:r>
        <w:rPr>
          <w:rFonts w:cs="Times New Roman"/>
          <w:noProof/>
          <w:sz w:val="24"/>
          <w:szCs w:val="24"/>
          <w:lang w:val="en-GB"/>
        </w:rPr>
        <w:t>[28]</w:t>
      </w:r>
      <w:r w:rsidRPr="00F84E50">
        <w:rPr>
          <w:rFonts w:cs="Times New Roman"/>
          <w:sz w:val="24"/>
          <w:szCs w:val="24"/>
          <w:lang w:val="en-GB"/>
        </w:rPr>
        <w:fldChar w:fldCharType="end"/>
      </w:r>
      <w:r w:rsidRPr="00352B5D">
        <w:rPr>
          <w:rFonts w:cs="Times New Roman"/>
          <w:sz w:val="24"/>
          <w:szCs w:val="24"/>
          <w:lang w:val="en-GB"/>
        </w:rPr>
        <w:t xml:space="preserve"> showing multiple diversity indices; C) C) LDA score  of the bacterial functions significantly (P&lt;0.01) higher in the group of mice pups of the same colour. The threshold on the logarithmic LDA score for discriminative features was set at 3.0 (instead of 2.0). n=5</w:t>
      </w:r>
      <w:r>
        <w:rPr>
          <w:rFonts w:cs="Times New Roman"/>
          <w:sz w:val="24"/>
          <w:szCs w:val="24"/>
          <w:lang w:val="en-GB"/>
        </w:rPr>
        <w:t xml:space="preserve"> per group.</w:t>
      </w:r>
    </w:p>
    <w:p w14:paraId="6D173B96" w14:textId="77777777" w:rsidR="00240A89" w:rsidRPr="00352B5D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</w:p>
    <w:p w14:paraId="2F55DDB5" w14:textId="77777777" w:rsidR="00240A89" w:rsidRDefault="00240A89" w:rsidP="00240A89">
      <w:pPr>
        <w:spacing w:line="480" w:lineRule="auto"/>
        <w:jc w:val="both"/>
        <w:rPr>
          <w:rFonts w:cs="Times New Roman"/>
          <w:sz w:val="24"/>
          <w:szCs w:val="24"/>
          <w:lang w:val="en-GB"/>
        </w:rPr>
      </w:pPr>
      <w:r w:rsidRPr="00352B5D">
        <w:rPr>
          <w:rFonts w:cs="Times New Roman"/>
          <w:b/>
          <w:sz w:val="24"/>
          <w:szCs w:val="24"/>
          <w:lang w:val="en-GB"/>
        </w:rPr>
        <w:t>Figure S5. 15-to-35 days after birth</w:t>
      </w:r>
      <w:r w:rsidRPr="00352B5D" w:rsidDel="00E73A09">
        <w:rPr>
          <w:rFonts w:cs="Times New Roman"/>
          <w:b/>
          <w:sz w:val="24"/>
          <w:szCs w:val="24"/>
          <w:lang w:val="en-GB"/>
        </w:rPr>
        <w:t xml:space="preserve"> </w:t>
      </w:r>
      <w:r w:rsidRPr="00352B5D">
        <w:rPr>
          <w:rFonts w:cs="Times New Roman"/>
          <w:b/>
          <w:sz w:val="24"/>
          <w:szCs w:val="24"/>
          <w:lang w:val="en-GB"/>
        </w:rPr>
        <w:t xml:space="preserve">caecum microbiota evolution of mice which received MG1655 and </w:t>
      </w:r>
      <w:r w:rsidRPr="00352B5D">
        <w:rPr>
          <w:rFonts w:cs="Times New Roman"/>
          <w:b/>
          <w:i/>
          <w:sz w:val="24"/>
          <w:szCs w:val="24"/>
          <w:lang w:val="en-GB"/>
        </w:rPr>
        <w:t>E. coli</w:t>
      </w:r>
      <w:r w:rsidRPr="00352B5D">
        <w:rPr>
          <w:rFonts w:cs="Times New Roman"/>
          <w:b/>
          <w:sz w:val="24"/>
          <w:szCs w:val="24"/>
          <w:lang w:val="en-GB"/>
        </w:rPr>
        <w:t xml:space="preserve"> SP15clb+ strains. </w:t>
      </w:r>
      <w:r w:rsidRPr="00352B5D">
        <w:rPr>
          <w:rFonts w:cs="Times New Roman"/>
          <w:sz w:val="24"/>
          <w:szCs w:val="24"/>
          <w:lang w:val="en-GB"/>
        </w:rPr>
        <w:t xml:space="preserve">A) Cladogram showing bacterial taxa significantly (P&lt;0.01) higher in the group of mice pups of the same colour; B) heat-map </w:t>
      </w:r>
      <w:r w:rsidRPr="00352B5D">
        <w:rPr>
          <w:rFonts w:eastAsia="Times New Roman" w:cs="Times New Roman"/>
          <w:sz w:val="24"/>
          <w:szCs w:val="24"/>
          <w:lang w:val="en-GB" w:eastAsia="fr-FR"/>
        </w:rPr>
        <w:t xml:space="preserve">based on a Pearson distance and a complete linkage </w:t>
      </w:r>
      <w:r w:rsidRPr="00352B5D">
        <w:rPr>
          <w:rFonts w:cs="Times New Roman"/>
          <w:sz w:val="24"/>
          <w:szCs w:val="24"/>
          <w:lang w:val="en-GB"/>
        </w:rPr>
        <w:t xml:space="preserve">drawn with the </w:t>
      </w:r>
      <w:proofErr w:type="spellStart"/>
      <w:r w:rsidRPr="00352B5D">
        <w:rPr>
          <w:rFonts w:cs="Times New Roman"/>
          <w:sz w:val="24"/>
          <w:szCs w:val="24"/>
          <w:lang w:val="en-GB"/>
        </w:rPr>
        <w:t>PermutMatrix</w:t>
      </w:r>
      <w:proofErr w:type="spellEnd"/>
      <w:r w:rsidRPr="00352B5D">
        <w:rPr>
          <w:rFonts w:cs="Times New Roman"/>
          <w:sz w:val="24"/>
          <w:szCs w:val="24"/>
          <w:lang w:val="en-GB"/>
        </w:rPr>
        <w:t xml:space="preserve"> software</w:t>
      </w:r>
      <w:r w:rsidRPr="00F84E50">
        <w:rPr>
          <w:rFonts w:cs="Times New Roman"/>
          <w:sz w:val="24"/>
          <w:szCs w:val="24"/>
          <w:lang w:val="en-GB"/>
        </w:rPr>
        <w:fldChar w:fldCharType="begin"/>
      </w:r>
      <w:r>
        <w:rPr>
          <w:rFonts w:cs="Times New Roman"/>
          <w:sz w:val="24"/>
          <w:szCs w:val="24"/>
          <w:lang w:val="en-GB"/>
        </w:rPr>
        <w:instrText xml:space="preserve"> ADDIN EN.CITE &lt;EndNote&gt;&lt;Cite&gt;&lt;Author&gt;Caraux&lt;/Author&gt;&lt;Year&gt;2005&lt;/Year&gt;&lt;RecNum&gt;166&lt;/RecNum&gt;&lt;DisplayText&gt;[28]&lt;/DisplayText&gt;&lt;record&gt;&lt;rec-number&gt;166&lt;/rec-number&gt;&lt;foreign-keys&gt;&lt;key app="EN" db-id="sadav2s22z5vfmezpxp5s5e3vsve5fxtpapd" timestamp="0"&gt;166&lt;/key&gt;&lt;/foreign-keys&gt;&lt;ref-type name="Journal Article"&gt;17&lt;/ref-type&gt;&lt;contributors&gt;&lt;authors&gt;&lt;author&gt;Caraux, G.&lt;/author&gt;&lt;author&gt;Pinloche, S.&lt;/author&gt;&lt;/authors&gt;&lt;/contributors&gt;&lt;auth-address&gt;Laboratoire d&amp;apos;Informatique de Robotique et de Microelectronique de Montpellier, 161 rue Ada, 34392 Montpellier cedex 5, France. caraux@lirmm.fr&lt;/auth-address&gt;&lt;titles&gt;&lt;title&gt;PermutMatrix: a graphical environment to arrange gene expression profiles in optimal linear order&lt;/title&gt;&lt;secondary-title&gt;Bioinformatics&lt;/secondary-title&gt;&lt;/titles&gt;&lt;periodical&gt;&lt;full-title&gt;Bioinformatics&lt;/full-title&gt;&lt;/periodical&gt;&lt;pages&gt;1280-1&lt;/pages&gt;&lt;volume&gt;21&lt;/volume&gt;&lt;number&gt;7&lt;/number&gt;&lt;edition&gt;2004/11/18&lt;/edition&gt;&lt;keywords&gt;&lt;keyword&gt;*Algorithms&lt;/keyword&gt;&lt;keyword&gt;*Computer Graphics&lt;/keyword&gt;&lt;keyword&gt;Database Management Systems&lt;/keyword&gt;&lt;keyword&gt;*Databases, Protein&lt;/keyword&gt;&lt;keyword&gt;Gene Expression Profiling/*methods&lt;/keyword&gt;&lt;keyword&gt;Information Storage and Retrieval/*methods&lt;/keyword&gt;&lt;keyword&gt;Linear Models&lt;/keyword&gt;&lt;keyword&gt;Models, Biological&lt;/keyword&gt;&lt;keyword&gt;Oligonucleotide Array Sequence Analysis/*methods&lt;/keyword&gt;&lt;keyword&gt;*Software&lt;/keyword&gt;&lt;keyword&gt;*User-Computer Interface&lt;/keyword&gt;&lt;/keywords&gt;&lt;dates&gt;&lt;year&gt;2005&lt;/year&gt;&lt;pub-dates&gt;&lt;date&gt;Apr 1&lt;/date&gt;&lt;/pub-dates&gt;&lt;/dates&gt;&lt;isbn&gt;1367-4803 (Print)&amp;#xD;1367-4803 (Linking)&lt;/isbn&gt;&lt;accession-num&gt;15546938&lt;/accession-num&gt;&lt;urls&gt;&lt;related-urls&gt;&lt;url&gt;http://www.ncbi.nlm.nih.gov/pubmed/15546938&lt;/url&gt;&lt;/related-urls&gt;&lt;/urls&gt;&lt;electronic-resource-num&gt;bti141 [pii]&amp;#xD;10.1093/bioinformatics/bti141&lt;/electronic-resource-num&gt;&lt;language&gt;eng&lt;/language&gt;&lt;/record&gt;&lt;/Cite&gt;&lt;/EndNote&gt;</w:instrText>
      </w:r>
      <w:r w:rsidRPr="00F84E50">
        <w:rPr>
          <w:rFonts w:cs="Times New Roman"/>
          <w:sz w:val="24"/>
          <w:szCs w:val="24"/>
          <w:lang w:val="en-GB"/>
        </w:rPr>
        <w:fldChar w:fldCharType="separate"/>
      </w:r>
      <w:r>
        <w:rPr>
          <w:rFonts w:cs="Times New Roman"/>
          <w:noProof/>
          <w:sz w:val="24"/>
          <w:szCs w:val="24"/>
          <w:lang w:val="en-GB"/>
        </w:rPr>
        <w:t>[28]</w:t>
      </w:r>
      <w:r w:rsidRPr="00F84E50">
        <w:rPr>
          <w:rFonts w:cs="Times New Roman"/>
          <w:sz w:val="24"/>
          <w:szCs w:val="24"/>
          <w:lang w:val="en-GB"/>
        </w:rPr>
        <w:fldChar w:fldCharType="end"/>
      </w:r>
      <w:r w:rsidRPr="00352B5D">
        <w:rPr>
          <w:rFonts w:cs="Times New Roman"/>
          <w:sz w:val="24"/>
          <w:szCs w:val="24"/>
          <w:lang w:val="en-GB"/>
        </w:rPr>
        <w:t xml:space="preserve"> showing multiple diversity indices; C) LDA score  of the bacterial functions significantly (P&lt;0.01) higher in the group of mice pups of the same colour. The threshold on the logarithmic LDA score for discriminative features was set at 3.0 (instead of 2.0). n=5</w:t>
      </w:r>
      <w:r>
        <w:rPr>
          <w:rFonts w:cs="Times New Roman"/>
          <w:sz w:val="24"/>
          <w:szCs w:val="24"/>
          <w:lang w:val="en-GB"/>
        </w:rPr>
        <w:t xml:space="preserve"> per group.</w:t>
      </w:r>
    </w:p>
    <w:p w14:paraId="5601D7A0" w14:textId="77777777" w:rsidR="00A340D3" w:rsidRDefault="00A340D3"/>
    <w:sectPr w:rsidR="00A340D3" w:rsidSect="00D92D77">
      <w:headerReference w:type="default" r:id="rId4"/>
      <w:footerReference w:type="default" r:id="rId5"/>
      <w:pgSz w:w="11906" w:h="16838"/>
      <w:pgMar w:top="1702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7190031"/>
      <w:docPartObj>
        <w:docPartGallery w:val="Page Numbers (Bottom of Page)"/>
        <w:docPartUnique/>
      </w:docPartObj>
    </w:sdtPr>
    <w:sdtEndPr/>
    <w:sdtContent>
      <w:p w14:paraId="35B82587" w14:textId="77777777" w:rsidR="00753D2F" w:rsidRDefault="00240A89">
        <w:pPr>
          <w:pStyle w:val="Footer"/>
          <w:jc w:val="center"/>
        </w:pPr>
        <w:r>
          <w:fldChar w:fldCharType="begin"/>
        </w:r>
        <w:r>
          <w:instrText>PAGE   \* MERGEFORMA</w:instrText>
        </w:r>
        <w:r>
          <w:instrText>T</w:instrText>
        </w:r>
        <w:r>
          <w:fldChar w:fldCharType="separate"/>
        </w:r>
        <w:r>
          <w:rPr>
            <w:noProof/>
          </w:rPr>
          <w:t>18</w:t>
        </w:r>
        <w:r>
          <w:fldChar w:fldCharType="end"/>
        </w:r>
      </w:p>
    </w:sdtContent>
  </w:sdt>
  <w:p w14:paraId="74846C2E" w14:textId="77777777" w:rsidR="00753D2F" w:rsidRDefault="00240A8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27381B" w14:textId="77777777" w:rsidR="00753D2F" w:rsidRPr="002E224B" w:rsidRDefault="00240A89" w:rsidP="000A1168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89"/>
    <w:rsid w:val="00114675"/>
    <w:rsid w:val="00240A89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74B76"/>
  <w15:chartTrackingRefBased/>
  <w15:docId w15:val="{F99CDCCE-ED2C-F04B-B8E7-9B222C2F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A89"/>
    <w:pPr>
      <w:spacing w:after="160" w:line="259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A89"/>
    <w:rPr>
      <w:sz w:val="22"/>
      <w:szCs w:val="22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240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A89"/>
    <w:rPr>
      <w:sz w:val="22"/>
      <w:szCs w:val="22"/>
      <w:lang w:val="fr-FR"/>
    </w:rPr>
  </w:style>
  <w:style w:type="character" w:styleId="LineNumber">
    <w:name w:val="line number"/>
    <w:basedOn w:val="DefaultParagraphFont"/>
    <w:uiPriority w:val="99"/>
    <w:semiHidden/>
    <w:unhideWhenUsed/>
    <w:rsid w:val="0024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1224</Words>
  <Characters>6981</Characters>
  <Application>Microsoft Office Word</Application>
  <DocSecurity>0</DocSecurity>
  <Lines>58</Lines>
  <Paragraphs>16</Paragraphs>
  <ScaleCrop>false</ScaleCrop>
  <Company/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2020-02-10T17:10:00Z</dcterms:created>
  <dcterms:modified xsi:type="dcterms:W3CDTF">2020-02-10T17:10:00Z</dcterms:modified>
</cp:coreProperties>
</file>